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
        <w:rPr>
          <w:highlight w:val="yellow"/>
        </w:rPr>
        <w:t>OBS! Ta bort denna text och instruktionerna nedan innan dokumentet skickas in.</w:t>
      </w:r>
    </w:p>
    <w:p>
      <w:r>
        <w:rPr>
          <w:u w:val="single"/>
        </w:rPr>
        <w:t>Saker att tänka på innan du skickar in synpunkter, förfrågningar och klagomål gällande FSC regelverket:</w:t>
      </w:r>
    </w:p>
    <w:p>
      <w:pPr>
        <w:pStyle w:val="ListBullet"/>
      </w:pPr>
      <w:r>
        <w:rPr>
          <w:b/>
        </w:rPr>
        <w:t>Mycket viktig att beställa hem</w:t>
      </w:r>
      <w:r>
        <w:rPr>
          <w:b/>
          <w:vertAlign w:val="superscript"/>
        </w:rPr>
        <w:t>1</w:t>
      </w:r>
      <w:r>
        <w:rPr>
          <w:b/>
        </w:rPr>
        <w:t xml:space="preserve"> och granska avverkningsanmälan från Skogsstyrelsen innan du skickar iväg något.</w:t>
      </w:r>
    </w:p>
    <w:p>
      <w:pPr>
        <w:pStyle w:val="ListBullet"/>
      </w:pPr>
      <w:r>
        <w:rPr>
          <w:b/>
        </w:rPr>
        <w:t xml:space="preserve">Den svenska FSC standardens krav (exempelvis indikator 6.4.3) kan endast användas om markägaren är FSC certifierad. </w:t>
      </w:r>
      <w:r>
        <w:t>Du måste därför ta reda på om markägaren är FSC certifierad innan du skickar in ett sådant klagomål</w:t>
      </w:r>
      <w:r>
        <w:rPr>
          <w:vertAlign w:val="superscript"/>
        </w:rPr>
        <w:t>2</w:t>
      </w:r>
      <w:r>
        <w:t>.</w:t>
      </w:r>
    </w:p>
    <w:p>
      <w:pPr>
        <w:pStyle w:val="ListBullet"/>
      </w:pPr>
      <w:r>
        <w:rPr>
          <w:b/>
        </w:rPr>
        <w:t>För att skicka klagomål gällande bristfällig hänsyn till rödlistade arter (indikator 6.4.3) måste man först granska om det finns någon hänsyn planerad till arterna i avverkningsanmälan.</w:t>
      </w:r>
    </w:p>
    <w:p>
      <w:pPr>
        <w:pStyle w:val="ListBullet"/>
      </w:pPr>
      <w:r>
        <w:t xml:space="preserve">Om du inte har granskat om hänsyn planeras till arterna i avverkningsanmälan kan du möjligen skicka in dokumentet som en synpunkt eller förfrågan. </w:t>
      </w:r>
      <w:r>
        <w:rPr>
          <w:b/>
        </w:rPr>
        <w:t>Om du skickar in som förfrågan kan du till skillnad från en synpunkt förvänta dig ett svar.</w:t>
      </w:r>
    </w:p>
    <w:p>
      <w:pPr>
        <w:pStyle w:val="ListBullet"/>
      </w:pPr>
      <w:r>
        <w:t>Klagomål mot FSC skogsbruksstandarden ska i ett första skede framföras till certifikatsinnehavaren, tex ett skogsbolag. Många (främst mindre) skogsägare är medlemmar i gruppcertifikat</w:t>
      </w:r>
      <w:r>
        <w:rPr>
          <w:vertAlign w:val="superscript"/>
        </w:rPr>
        <w:t>3</w:t>
      </w:r>
      <w:r>
        <w:t xml:space="preserve"> och då ska klagomålet framföras till gruppcertifikatet.</w:t>
      </w:r>
    </w:p>
    <w:p>
      <w:pPr>
        <w:pStyle w:val="ListBullet"/>
      </w:pPr>
      <w:r>
        <w:t>Om ett ombud (tex Norra skog eller Mellanskog) avverkningsanmäler en skog med naturvärden motsvarande nyckelbiotops kvalité men markägaren inte är FSC certifierad, bör du skicka in ett FSC kontrollerat virke klagomål. Då ska klagomålet skickas till ombudsföretaget.</w:t>
      </w:r>
    </w:p>
    <w:p>
      <w:pPr>
        <w:jc w:val="left"/>
      </w:pPr>
      <w:r>
        <w:rPr>
          <w:vertAlign w:val="superscript"/>
        </w:rPr>
        <w:t>1</w:t>
      </w:r>
      <w:r>
        <w:t xml:space="preserve"> Maila till skogsstyrelsen@skogsstyrelsen.se</w:t>
        <w:br/>
      </w:r>
      <w:r>
        <w:rPr>
          <w:vertAlign w:val="superscript"/>
        </w:rPr>
        <w:t>2</w:t>
      </w:r>
      <w:r>
        <w:t xml:space="preserve"> Hör av dig till FSC kansliet eller isak.lodin@wwf.se om du vill ha hjälp.</w:t>
        <w:br/>
      </w:r>
      <w:r>
        <w:rPr>
          <w:vertAlign w:val="superscript"/>
        </w:rPr>
        <w:t>3</w:t>
      </w:r>
      <w:r>
        <w:t xml:space="preserve"> https://se.fsc.org/se-sv/hitta/grupper-for-skogsbrukscertifiering</w:t>
      </w:r>
    </w:p>
    <w:p>
      <w:r>
        <w:rPr>
          <w:highlight w:val="yellow"/>
        </w:rPr>
        <w:t>OBS! Ta bort denna text och instruktionerna ovan innan dokumentet skickas in.</w:t>
        <w:br w:type="page"/>
      </w:r>
    </w:p>
    <w:p>
      <w:pPr>
        <w:pStyle w:val="Title"/>
      </w:pPr>
      <w:r>
        <w:t>Inledande FSC- /PEFC-klagomål – information om höga naturvärden och fridlysta arter i avverkningsanmälan Lögdeälven käringberget i Bjurholms kommun</w:t>
      </w:r>
    </w:p>
    <w:p>
      <w:r>
        <w:t>Detta dokument behandlar höga naturvärden i avverkningsanmälan Lögdeälven käringberget i Bjurholms kommun. Denna avverkningsanmälan inkom 2025-07-21 och omfattar 534,2 ha.</w:t>
      </w:r>
    </w:p>
    <w:p>
      <w:r>
        <w:t>Nedan presenteras fynd av naturvårdsarter och fridlysta arter som gjorts i det avverkningsanmälda området, samt relevanta utdrag ur standarderna för FSC, Chain of Custody, Controlled Wood och PEFC. I BILAGA 1 finns artfakta om fridlysta och rödlistade arter.</w:t>
      </w:r>
    </w:p>
    <w:p>
      <w:r>
        <w:t>Vi förväntar oss att ni återkommer med ett skriftligt svar på vårt klagomål och även beskriver vilka korrigerande åtgärder ni satt in för att rätta till identifierade brister i er efterlevnad av den svenska FSC standarden.</w:t>
      </w:r>
    </w:p>
    <w:p>
      <w:pPr>
        <w:pStyle w:val="Heading1"/>
      </w:pPr>
      <w:r>
        <w:t>Naturvårdsarter</w:t>
      </w:r>
    </w:p>
    <w:p>
      <w:r>
        <w:t>I avverkningsanmälan har följande 28 naturvårdsarter hittats: goliatmusseron (VU), gräddticka (VU), ringlav (VU), rynkskinn (VU), tofsvipa (VU, §4), buskskvätta (NT, §4), dvärgbägarlav (NT), gammelgransskål (NT), järpe (NT, §4), lunglav (NT), reliktbock (NT), spillkråka (NT, §4), talltita (NT, §4), tallvägstekel (NT), tretåig hackspett (NT, §4), urskogsvedfluga (NT), vedtrappmossa (NT), violettgrå tagellav (NT), dropptaggsvamp (S), skarp dropptaggsvamp (S), enkelbeckasin (§4), gråspett (§4), grönsiska (§4), göktyta (§4), kungsfågel (§4), lavskrika (§4), orre (§4) och tjäder (§4). Av dessa är 18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höga naturvärden. I Figur 1 visas en karta över det avverkningsanmälda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5666979"/>
            <wp:docPr id="1" name="Picture 1"/>
            <wp:cNvGraphicFramePr>
              <a:graphicFrameLocks noChangeAspect="1"/>
            </wp:cNvGraphicFramePr>
            <a:graphic>
              <a:graphicData uri="http://schemas.openxmlformats.org/drawingml/2006/picture">
                <pic:pic>
                  <pic:nvPicPr>
                    <pic:cNvPr id="0" name="Lögdeälven käringberget karta.png"/>
                    <pic:cNvPicPr/>
                  </pic:nvPicPr>
                  <pic:blipFill>
                    <a:blip r:embed="rId16"/>
                    <a:stretch>
                      <a:fillRect/>
                    </a:stretch>
                  </pic:blipFill>
                  <pic:spPr>
                    <a:xfrm>
                      <a:off x="0" y="0"/>
                      <a:ext cx="5486400" cy="5666979"/>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7104986, E 684158 i SWEREF 99 TM.</w:t>
      </w:r>
    </w:p>
    <w:p>
      <w:r>
        <w:rPr>
          <w:b/>
        </w:rPr>
        <w:t>Dvärgbägarlav (NT)</w:t>
      </w:r>
      <w:r>
        <w:t xml:space="preserve"> förekommer över hela Sverige på gammal hård ved, huvudsakligen på tall men i södra Sverige även på ek. Veden utgörs framförallt av grova stubbar, lågor och grenar. Substratet har blivit sällsyntare och nybildning av substrat sker bara i begränsad omfattning. Arten hotas av att grova lågor blir allt sällsyntare i dagens kulturskogar samt att nybildningen av lämpliga substrat går mycket långsamt. En riklig tillgång på gamla tall- eller eklågor måste säkerställas på artens lokaler (SLU Artdatabanken, 2024; Nitare &amp; Skogsstyrelsen, 2019).</w:t>
      </w:r>
    </w:p>
    <w:p>
      <w:r>
        <w:rPr>
          <w:b/>
        </w:rPr>
        <w:t>Gammelgransskål (NT)</w:t>
      </w:r>
      <w:r>
        <w:t xml:space="preserve"> är en liten skålsvamp som växer på gamla granar med skrovlig bark. Typiska växtplatser är gransumpskog i myrkanter, bäckdråg, bäckraviner och skuggiga bergssluttningar, men också skog på torrare mark kan hysa arten om beståndet har stark naturskogskaraktär. Bestånd med arten bör behandlas som nyckelbiotoper och sparas vid en slutavverkning. Även gallring bör undvikas (SLU Artdatabanken, 2024; Nitare &amp; Skogsstyrelsen, 2019).</w:t>
      </w:r>
    </w:p>
    <w:p>
      <w:r>
        <w:rPr>
          <w:b/>
        </w:rPr>
        <w:t>Goliatmusseron (VU)</w:t>
      </w:r>
      <w:r>
        <w:t xml:space="preserve"> är en mykorrhizasvamp knuten till gammal tall på sandig eller grusig mark, främst ljusöppna torra lavtallhedar där svampen växer bland renlavar och lingon. Mager, sandig och brandpräglad tallskog med lång trädkontinuitet bör undantas från trakthyggesbruk och inte kalavverkas. Goliatmusseron är placerad högst upp i Skogsstyrelsens värdepyramid för bedömning av skog med höga naturvärden och den är globalt rödlistad som sårbar (VU) vilket innebär att Sverige har ett internationellt ansvar för arten (SLU Artdatabanken, 2024; Nitare &amp; Skogsstyrelsen, 2019; IUCN, 2020).</w:t>
      </w:r>
    </w:p>
    <w:p>
      <w:r>
        <w:rPr>
          <w:b/>
        </w:rPr>
        <w:t>Gräddticka (VU)</w:t>
      </w:r>
      <w:r>
        <w:t xml:space="preserve"> har klassificerats som en ”gammelskogsindikator” och signalerar granskogar med höga naturvärden. Den kräver miljöer med hög och jämn fuktighet och växtplatserna ligger oftast på näringsrik, fuktig eller blöt mark där lågan och den murkna veden hålls konstant fuktig. Slutavverkning av gammelgranskog är ett direkt hot mot artens existens i landet och artens växtplatser måste undantas från skogsbruk (SLU Artdatabanken, 2024; Nitare &amp; Skogsstyrelsen, 2019).</w:t>
      </w:r>
    </w:p>
    <w:p>
      <w:r>
        <w:rPr>
          <w:b/>
        </w:rPr>
        <w:t>Lunglav (NT)</w:t>
      </w:r>
      <w:r>
        <w:t xml:space="preserve"> är en av vårt lands främsta signalarter som överallt indikerar gamla lövträd, skogsbestånd med höga naturvärden och ekosystem med lång skoglig kontinuitet. Lokalt kan förekomsten vara mycket riklig men den hittas nästan enbart i gamla och ej slutavverkade skogar. Artens samtliga förekomster bör uppmärksammas från naturvårdssynpunkt, då många lokaler även hyser andra ovanliga och rödlistade arter. Rikliga förekomster bör skyddas med biotopskydd, frivilliga avsättningar eller reservat. Det finns ett antal sällsynta lavparasiter som växer på lunglav: lunglavsknapp (VU), skrovelmössing (DD), lunglavshårprick (DD), </w:t>
      </w:r>
      <w:r>
        <w:rPr>
          <w:i/>
        </w:rPr>
        <w:t>Calycina alstrupii</w:t>
      </w:r>
      <w:r>
        <w:t xml:space="preserve"> (NA) och </w:t>
      </w:r>
      <w:r>
        <w:rPr>
          <w:i/>
        </w:rPr>
        <w:t>Chalara lobariae</w:t>
      </w:r>
      <w:r>
        <w:t xml:space="preserve"> (NA) (SLU Artdatabanken, 2025; SLU Artdatabanken, 2024; Nitare &amp; Skogsstyrelsen, 2019).</w:t>
      </w:r>
    </w:p>
    <w:p>
      <w:r>
        <w:rPr>
          <w:b/>
        </w:rPr>
        <w:t>Reliktbock (NT)</w:t>
      </w:r>
      <w:r>
        <w:t xml:space="preserve"> är en skalbagge vars larvutveckling sker i tjock, solexponerad skorpbark på gamla, levande tallar. Ofta i träd som under längre tid stått fritt och öppet, t.ex. i kantzoner i odlingslandskap, längs stränder och åsar, men också i gles, gammal tallskog på mager mark. Arten är brandgynnad genom att omgivande småträd och buskar försvinner vid lågintensiva bränder samtidigt som gamla tallar överlever och förblir solexponerade. Minskningstakten för den svenska populationen bedöms vara nära gränsvärdet för Sårbar (VU) och i den europeiska rödlistan är reliktbock rödlistad som Sårbar (VU) vilket innebär att Sverige har ett internationellt ansvar för arten. Gamla tallskogar bör få ett långsiktigt skydd, och inte slutavverkas (SLU Artdatabanken, 2024; IUCN, 2016).</w:t>
      </w:r>
    </w:p>
    <w:p>
      <w:r>
        <w:rPr>
          <w:b/>
        </w:rPr>
        <w:t>Ringlav (VU)</w:t>
      </w:r>
      <w:r>
        <w:t>, rödlistad som sårbar, växer oftast på gran och tall i brandrefugiala halvöppna skogar med hög och jämn luftfuktighet. Under de senaste 50 åren har minskningstakten uppgått till 30 (20–40) %. Hur mycket den kommer att minska i framtiden beror på vad som kommer att ske med de stora förekomster som hittats men som ännu saknar skydd. Arten, som är placerad i toppen på Skogsstyrelsen värdepyramid för bedömning av skog med höga naturvärden, är ytterst känslig för förändringar i mikroklimatet och den överlever inte i skogsbestånd som gränsar till kalhyggen. Lavens förekomster tillsammans med väl tilltagna skyddszoner måste skyddas och undantas från produktionsinriktat skogsbruk (SLU Artdatabanken, 2024; Nitare &amp; Skogsstyrelsen, 2019).</w:t>
      </w:r>
    </w:p>
    <w:p>
      <w:r>
        <w:rPr>
          <w:b/>
        </w:rPr>
        <w:t>Rynkskinn (VU)</w:t>
      </w:r>
      <w:r>
        <w:t>, rödlistad som sårbar, är en vednedbrytare som växer på grova granlågor och ingår i en karaktäristisk association av vedsvampar knutna till urskogsartade barrskogar. Den har klassificerats som en “urskogsindikator” och är placerad i toppen av Skogsstyrelsens värdepyramid för bedömning av skog med höga naturvärden. Allt tyder på att rynkskinn är mycket känslig för skogliga ingrepp (Nitare &amp; Skogsstyrelsen, 2019; SLU Artdatabanken, 2024).</w:t>
      </w:r>
    </w:p>
    <w:p>
      <w:r>
        <w:rPr>
          <w:b/>
        </w:rPr>
        <w:t xml:space="preserve">Vedtrappmossa (NT) </w:t>
      </w:r>
      <w:r>
        <w:t>växer på död ved, främst i gammal granskog. Den förekommer knappast alls i fjällnära barrskogar utan finns i skogslandskapet nedom fjällen och framför allt i landets södra delar är den en mycket bra signalart för barrnaturskog med höga naturvärden. Skogsavverkning och brist på grov död ved i skogen är de allvarligaste hoten och den överlever inte kalhyggesbruk. Lokaler med sluten granskog, tillräckligt stora för att säkerställa ett kontinuerligt tillskott på grova lågor, bör undantas från storskaligt skogsbruk (SLU Artdatabanken, 2024).</w:t>
      </w:r>
    </w:p>
    <w:p>
      <w:r>
        <w:rPr>
          <w:b/>
        </w:rPr>
        <w:t>Violettgrå tagellav (NT)</w:t>
      </w:r>
      <w:r>
        <w:t xml:space="preserve"> växer nästan uteslutande i gamla olikåldriga barrnaturskogar med lång skoglig kontinuitet och är en utmärkt signal på skog med höga naturvärden. Slutavverkning av tidigare aldrig slutavverkad skog (kontinuitetsskog) är det största hotet. Biotopen nyskapas i begränsad omfattning och barrskog äldre än 160 år, där den violettgrå tagellaven huvudsakligen påträffas har minskat med 50% de senaste 50 åren. Lågproduktiv skogsmark där laven förekommer bör undantas från skogsbruk och rika förekomster i äldre granskog bör skyddas. Arten är känslig för uttorkning och det är väsentligt att tillräckligt stora bestånd avsätts (SLU Artdatabanken, 2024; Nitare &amp; Skogsstyrelsen, 2019).</w:t>
      </w:r>
    </w:p>
    <w:p>
      <w:pPr>
        <w:pStyle w:val="Heading1"/>
      </w:pPr>
      <w:r>
        <w:t>Fridlysta arter</w:t>
      </w:r>
    </w:p>
    <w:p>
      <w:r>
        <w:t>Följande fridlysta arter har sina livsmiljöer och växtplatser i den avverkningsanmälda skogen: tofsvipa (VU, §4), buskskvätta (NT, §4), järpe (NT, §4), spillkråka (NT, §4), talltita (NT, §4), tretåig hackspett (NT, §4), enkelbeckasin (§4), gråspett (§4), grönsiska (§4), göktyta (§4), kungsfågel (§4), lavskrika (§4), orre (§4) och tjäder (§4).</w:t>
      </w:r>
    </w:p>
    <w:p>
      <w:r>
        <w:t xml:space="preserve">Observera att medlemsländerna är skyldiga att agera i enlighet med EU:s fågeldirektiv där det uttryckligen står att direktivet gäller för fåglar samt för deras ägg, bon och </w:t>
      </w:r>
      <w:r>
        <w:rPr>
          <w:b/>
        </w:rPr>
        <w:t xml:space="preserve">livsmiljöer </w:t>
      </w:r>
      <w:r>
        <w:t>(artikel 1). Vidare att de åtgärder som vidtas inte får leda till en försämring av den nuvarande situationen beträffande bevarandet av de fågelarter som avses i artikel 1 (artikel 13). Fågeldirektivet är styrande för tillsynsansvariga myndigheters ärendehantering, ställningstaganden och beslutsfattande.</w:t>
      </w:r>
    </w:p>
    <w:p>
      <w:r>
        <w:rPr>
          <w:b/>
        </w:rPr>
        <w:t>Järpe (NT, §4)</w:t>
      </w:r>
      <w:r>
        <w:t>, rödlistad som nära hotad och prioriterad art i Skogsvårdslagen har häckningsrevir i avverkningsanmälan. Arten har minskat med 25 (10–40) % under de senaste 12 åren och är mycket stationär inom sitt revir som är minst 25 hektar stort. Dess livsmiljöer utgörs av tät barrskog med inblandning av lövträd och en väl utvecklad flerskiktad struktur med bärris och yngre eller undertryckta, täta granar i ett lägre skikt, ofta utmed bäckar och åar inne i den skyddande granskogen. Järpen överlever inte om dess livsmiljö kalavverkas och är även känslig för röjning, gallring och avverkning där unga granar och lövträd inte sparas i tillräcklig omfattning (SLU Artdatabanken, 2022).</w:t>
      </w:r>
    </w:p>
    <w:p>
      <w:r>
        <w:rPr>
          <w:b/>
        </w:rPr>
        <w:t>Lavskrika (§4)</w:t>
      </w:r>
      <w:r>
        <w:t>, prioriterad art i Skogsvårdslagen, är en mycket stationär fågel, som häckar i äldre, slutna och hänglavsrika barrskogar. Reviren är livslånga med hemområden som varierar mellan 50 och 150 ha. Inom ett revir av hög kvalitet finns det som regel ett eller flera kärnområden (1–20 ha) med relativt tät flerskiktad granskog. Arten missgynnas när flerskiktad skog omförs till enskiktade bestånd och även röjning och hård gallring är starkt negativt. Lavskrikan har relativt stora hemområden och försvinner när den äldre skogen fragmenteras, särskilt allvarligt är när kärnområdena avverkas. (Skogsstyrelsen 2016). Populationen har minskat med 20–40 % de senaste 30 åren. Arten försvinner successivt framför allt vid dess utbredningsgränser (SLU Artdatabanken, 2021).</w:t>
      </w:r>
    </w:p>
    <w:p>
      <w:r>
        <w:rPr>
          <w:b/>
        </w:rPr>
        <w:t>Spillkråka (NT, §4)</w:t>
      </w:r>
      <w:r>
        <w:t xml:space="preserve"> är rödlistad som nära hotad och ingår i bilaga 1 i EU:s fågeldirektiv. Den minskar i population på grund av minskad tillgång på lämpliga bo- och födoträd och minskad födotillgång. Spillkråkans minskningstakt har uppgått till 19 (24–10) % under de senaste 15 åren. Minskningstakten för den svenska populationen bedöms vara nära gränsvärdet för Sårbar (VU) (A2bc). Skogsbruk med korta omloppstider och täta, homogena ungskogar utgör det största hotet, (SLU Artdatabanken, 2023).</w:t>
      </w:r>
    </w:p>
    <w:p>
      <w:r>
        <w:rPr>
          <w:b/>
        </w:rPr>
        <w:t>Talltita (NT, §4)</w:t>
      </w:r>
      <w:r>
        <w:t>, rödlistad som nära hotad och prioriterad art i Skogsvårdslagen har häckningsrevir i anmälan. Arten har minskat kraftigt de senaste 30 åren och minskningstakten innevarande 10-årsperiod beräknas till 20 (10–30) %. Talltitan är synnerligen trogen sitt cirka 15 hektar stora revir och är beroende av flerskiktade olikåldriga skogar för att kunna föda upp sina ungar. Talltitan försvinner om dess livsmiljö kalavverkas (Eggers &amp; Low (2014); Ekman (1979); Griesser et al (2007); Klein (2020); Siffczyk et al (2003); SLU Artdatabanken (2021).</w:t>
      </w:r>
    </w:p>
    <w:p>
      <w:r>
        <w:rPr>
          <w:b/>
        </w:rPr>
        <w:t>Tretåig hackspett (NT, §4)</w:t>
      </w:r>
      <w:r>
        <w:t xml:space="preserve"> är rödlistad som nära hotad och ingår i bilaga 1 i EU:s fågeldirektiv. Tretåig hackspett är för sin överlevnad beroende av kontinuerlig tillförsel av äldre döende och död ved, som sker genom naturliga självgallringsprocesser i äldre grannaturskogar och barrblandade naturskogar. Om en skog genom skogsbruk gallras eller glesas ur så upphör och uteblir i stort sett den naturliga självgallringsprocessen för mycket lång tid framöver vilket omöjliggör upprätthållandet av den kontinuerliga ekologiska funktionen i ett område. Det finns studier som visar att naturskogens självgallringsprocess som den tretåiga hackspetten är beroende av, inte kan ersättas med efterlämnad hänsyn i skogsbruket (Imbeau &amp; Desrochers, 2002). Storleken på häckningsreviret varierar med skogstypen, förekomsten av död ved och graden av fragmentering, men är i allmänhet i storleksordningen 25–100 hektar. Vintertid krävs ofta betydligt större områden och det finns studier som antyder att arten behöver minst 100 hektar äldre skog. I områden med låg bonitet kan det behövas över 200 hektar lämpligt habitat för att ett par ska kunna reproducera sig. Områden med dokumenterad permanent förekomst i naturskogsmiljöer har vanligen så stora naturvärden att skogsbruk är olämpligt (Skogsstyrelsen, 2016).</w:t>
      </w:r>
    </w:p>
    <w:p>
      <w:r>
        <w:t>I BILAGA 1 finns mer detaljerad information om ekologi samt krav på livsmiljö hos fridlysta arter.</w:t>
      </w:r>
    </w:p>
    <w:p>
      <w:pPr>
        <w:pStyle w:val="Heading1"/>
      </w:pPr>
      <w:r>
        <w:t>Certifiering</w:t>
      </w:r>
    </w:p>
    <w:p>
      <w:pPr>
        <w:pStyle w:val="Heading2"/>
      </w:pPr>
      <w:r>
        <w:t>Ur FSC-standarden</w:t>
      </w:r>
    </w:p>
    <w:p>
      <w:r>
        <w:rPr>
          <w:b/>
        </w:rPr>
        <w:t xml:space="preserve">PRINCIP 1: LAGEFTERLEVNAD: </w:t>
      </w:r>
      <w:r>
        <w:t>Certifikatsinnehavaren ska följa alla tillämpliga lagar, förordningar och nationellt ratificerade internationella avtal, konventioner och överenskommelser.</w:t>
      </w:r>
    </w:p>
    <w:p>
      <w:r>
        <w:rPr>
          <w:b/>
        </w:rPr>
        <w:t xml:space="preserve">1.3.1 </w:t>
      </w:r>
      <w:r>
        <w:t>Tillämpliga lagar och föreskrifter för brukandet av skogen följs.</w:t>
      </w:r>
    </w:p>
    <w:p>
      <w:pPr>
        <w:pStyle w:val="ListBullet"/>
      </w:pPr>
      <w:r>
        <w:rPr>
          <w:b/>
          <w:i/>
        </w:rPr>
        <w:t xml:space="preserve">Kommentar: </w:t>
      </w:r>
      <w:r>
        <w:t>I den avverkningsanmälda skogen har fridlysta arter sina livsmiljöer och växtplatser. Att skada de fridlysta arternas livsmiljöer, växtplatser eller ekologiska funktion är inte tillåtet enligt artskyddsförordningen.</w:t>
      </w:r>
      <w:r>
        <w:rPr>
          <w:i/>
        </w:rPr>
        <w:t xml:space="preserve"> EU:s medlemsländer och skogsbolag är skyldiga att agera i enlighet med EU:s fågeldirektiv där det uttryckligen står att direktivet gäller för fåglar samt för deras ägg, bon och </w:t>
      </w:r>
      <w:r>
        <w:rPr>
          <w:b/>
          <w:i/>
        </w:rPr>
        <w:t xml:space="preserve">livsmiljöer </w:t>
      </w:r>
      <w:r>
        <w:t>(artikel 1). Vidare att de åtgärder som vidtas inte får leda till en försämring av den nuvarande situationen beträffande bevarandet av de fågelarter som avses i artikel 1 (artikel 13).</w:t>
      </w:r>
    </w:p>
    <w:p>
      <w:r>
        <w:rPr>
          <w:b/>
        </w:rPr>
        <w:t xml:space="preserve">6.4 </w:t>
      </w:r>
      <w:r>
        <w:t>Certifikatsinnehavaren ska skydda sällsynta arter och hotade arter samt deras livsmiljöer inom skogsbruksenheten. Det ska ske genom avsättningar, andra skyddade områden och genom att skapa konnektivitet och/eller genom andra direkta åtgärder som gynnar dessa arters överlevnad och livskraft. Åtgärderna ska stå i förhållande till brukandets skala, intensitet och risk, samt till sällsynta och hotade arters bevarandestatus och ekologiska krav. Certifikatsinnehavaren ska beakta den geografiska spridningen och ekologiska krav hos sällsynta och hotade arter utanför skogsbruksenhetens gränser när beslut om åtgärder inom skogsbruksenheten ska fattas.</w:t>
      </w:r>
    </w:p>
    <w:p>
      <w:r>
        <w:rPr>
          <w:b/>
        </w:rPr>
        <w:t xml:space="preserve">6.4.1 </w:t>
      </w:r>
      <w:r>
        <w:t>Följande biotoper undantas från alla skogsbruksåtgärder, förutom åtgärder påkallade för att bevara eller främja biotopens naturliga eller hävdbetingade biologiska mångfald:</w:t>
      </w:r>
    </w:p>
    <w:p>
      <w:pPr>
        <w:ind w:left="357"/>
      </w:pPr>
      <w:r>
        <w:t>b) nyckelbiotoper enligt Skogsstyrelsens definition och metod (1995)</w:t>
      </w:r>
    </w:p>
    <w:p>
      <w:pPr>
        <w:pStyle w:val="ListBullet"/>
      </w:pPr>
      <w:r>
        <w:rPr>
          <w:b/>
          <w:i/>
        </w:rPr>
        <w:t xml:space="preserve">Kommentar: </w:t>
      </w:r>
      <w:r>
        <w:rPr>
          <w:i/>
        </w:rPr>
        <w:t>I det avverkningsanmälda skogsområdet har 20 rödlistade arter och signalarter påträffats. Detta ska jämföras med Skogsstyrelsens uppföljning 2017 av nyckelbiotoper som visade att man i genomsnitt hittar 20,6 olika rödlistade arter och signalarter i en nyckelbiotop (Wijk, S. 2017. Biologisk mångfald i nyckelbiotoper – Resultat från inventeringen “Uppföljning biologisk mångfald” 2009–2015. Rapport 4/2017 Skogsstyrelsen, Jönköping).</w:t>
      </w:r>
    </w:p>
    <w:p>
      <w:r>
        <w:rPr>
          <w:b/>
        </w:rPr>
        <w:t xml:space="preserve">6.4.3 </w:t>
      </w:r>
      <w:r>
        <w:t>Bevarandeåtgärder genomförs för de kända förekomster av rödlistade arter som påverkas av skogsbruk.</w:t>
      </w:r>
    </w:p>
    <w:p>
      <w:pPr>
        <w:pStyle w:val="ListBullet"/>
      </w:pPr>
      <w:r>
        <w:rPr>
          <w:b/>
          <w:i/>
        </w:rPr>
        <w:t xml:space="preserve">Kommentar: </w:t>
      </w:r>
      <w:r>
        <w:rPr>
          <w:i/>
        </w:rPr>
        <w:t>I det avverkningsanmälda skogsområdet har 28 naturvårdsarter varav 18 rödlistade arter sina livsmiljöer och växtplatser.</w:t>
      </w:r>
    </w:p>
    <w:p>
      <w:pPr>
        <w:pStyle w:val="Heading2"/>
      </w:pPr>
      <w:r>
        <w:t>Ur Chain of Custody Certification (FSC-STD-40-004 ver 3.0)</w:t>
      </w:r>
    </w:p>
    <w:p>
      <w:r>
        <w:rPr>
          <w:b/>
        </w:rPr>
        <w:t xml:space="preserve">1.3 </w:t>
      </w:r>
      <w:r>
        <w:t xml:space="preserve">The organization shall commit to the FSC values as defined in FSC-POL-01-004 Policy for the Association of Organizations with FSC. </w:t>
      </w:r>
    </w:p>
    <w:p>
      <w:pPr>
        <w:pStyle w:val="Heading2"/>
      </w:pPr>
      <w:r>
        <w:t>Ur FSC:s policy för associerade organisationer (FSC-POL-01-004)</w:t>
      </w:r>
    </w:p>
    <w:p>
      <w:r>
        <w:t xml:space="preserve">Som “Chain of Custody”-certifierad organisation är skogsbolaget bunden av de fastställda reglerna i Del 1 Punkt 1 c) i Policy för organisationer associerade med FSC (FSC-POL-01-004 V2-0 EN + SVE version 2012-03-02): </w:t>
      </w:r>
    </w:p>
    <w:p>
      <w:pPr>
        <w:pStyle w:val="ListNumber"/>
      </w:pPr>
      <w:r>
        <w:t>De organisationer FSC kan acceptera association med får inte direkt eller indirekt ha några kopplingar till nedanstående, oacceptabla aktiviteter:</w:t>
      </w:r>
    </w:p>
    <w:p>
      <w:pPr>
        <w:ind w:left="357"/>
      </w:pPr>
      <w:r>
        <w:t>a) Olaglig skogsavverkning och handel med olagligt avverkat virke eller skogsprodukter</w:t>
      </w:r>
    </w:p>
    <w:p>
      <w:pPr>
        <w:ind w:left="357"/>
      </w:pPr>
      <w:r>
        <w:t>...</w:t>
      </w:r>
    </w:p>
    <w:p>
      <w:pPr>
        <w:ind w:left="357"/>
      </w:pPr>
      <w:r>
        <w:t>c) Skogsbruk som förstör höga naturvärden</w:t>
      </w:r>
    </w:p>
    <w:p>
      <w:pPr>
        <w:ind w:left="357"/>
      </w:pPr>
      <w:r>
        <w:t>d) Betydande omvandling av skog till plantager eller annan, icke skoglig, markanvändning</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2"/>
      </w:pPr>
      <w:r>
        <w:t>Ur FSC Controlled Wood (FSC-STD-40-005)</w:t>
      </w:r>
    </w:p>
    <w:p>
      <w:r>
        <w:t>Virke som inte accepteras i FSC-märkta produkter (oacceptabelt ursprung) enligt FSC Controlled Wood (FSC-STD-40-005):</w:t>
      </w:r>
    </w:p>
    <w:p>
      <w:pPr>
        <w:pStyle w:val="ListNumber"/>
      </w:pPr>
      <w:r>
        <w:t>Illegalt avverkat virke.</w:t>
      </w:r>
    </w:p>
    <w:p>
      <w:pPr>
        <w:pStyle w:val="ListNumber"/>
      </w:pPr>
      <w:r>
        <w:t>...</w:t>
      </w:r>
    </w:p>
    <w:p>
      <w:pPr>
        <w:pStyle w:val="ListNumber"/>
      </w:pPr>
      <w:r>
        <w:t>Virke från avverkningar som hotar höga naturvärden.</w:t>
      </w:r>
    </w:p>
    <w:p>
      <w:pPr>
        <w:pStyle w:val="ListNumber"/>
      </w:pPr>
      <w:r>
        <w:t>Virke från skog som konverteras till plantager eller icke-skogligt bruk.</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1"/>
      </w:pPr>
      <w:r>
        <w:t>Ur PEFC-standarden gällande lagefterlevnad</w:t>
      </w:r>
    </w:p>
    <w:p>
      <w:r>
        <w:t>PEFC-standarden förutsätter att tillämplig svensk lagstiftning följs. Det är utsedd tillsynsmyndighet som ansvarar för tillsyn av lagens efterlevnad. PEFC-standarden återger innehållet i vissa certifieringskritiska lag- och föreskriftskrav vilka ska ingå i granskning av PEFC-systemets efterlevnad.</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p>
      <w:r>
        <w:br w:type="page"/>
      </w:r>
    </w:p>
    <w:p>
      <w:pPr>
        <w:pStyle w:val="Title"/>
      </w:pPr>
      <w:r>
        <w:t>BILAGA 1 –</w:t>
        <w:br/>
        <w:t>Fridlysta och rödlistade arter</w:t>
      </w:r>
    </w:p>
    <w:p>
      <w:pPr>
        <w:pStyle w:val="Heading1"/>
      </w:pPr>
      <w:r>
        <w:t>Järpe – ekologi samt krav på livsmiljön</w:t>
      </w:r>
    </w:p>
    <w:p>
      <w:r>
        <w:t>Järpe är rödlistad som nära hotad (NT), fridlyst enligt 4§ Artskyddsförordningen och prioriterad art i Skogsvårdslagen. Järpen, som minskat med 25 (10–40) % under de senaste 12 åren, har sina livsmiljöer i tät barrskog med inblandning av lövträd och en väl utvecklad flerskiktad struktur med bärris och yngre eller undertryckta, täta granar i ett lägre skikt, ofta utmed bäckar och åar inne i den skyddande granskogen.</w:t>
      </w:r>
    </w:p>
    <w:p>
      <w:r>
        <w:t>Arten behöver lämpliga skogsbestånd om sammanlagt minst 25 hektar. Den är mycket stationär inom sitt revir och när ett par etablerat sig stannar de så länge miljön är intakt. Den undviker öppen mark och förﬂyttar sig sällan över större öppna myrar eller åkermark, och är därför känslig för fragmentering. Järpen överlever inte om dess livsmiljö kalavverkas och är även känslig för röjning, gallring och avverkning där unga granar och lövträd inte sparas i tillräcklig omfattning (SLU Artdatabanken, 2022).</w:t>
      </w:r>
    </w:p>
    <w:p>
      <w:pPr>
        <w:pStyle w:val="Heading2"/>
      </w:pPr>
      <w:r>
        <w:t>Referenser – järpe</w:t>
      </w:r>
    </w:p>
    <w:p>
      <w:r>
        <w:t xml:space="preserve">SLU Artdatabanken, 2022. </w:t>
      </w:r>
      <w:r>
        <w:rPr>
          <w:i/>
        </w:rPr>
        <w:t xml:space="preserve">Artfaktablad. Naturvård – artfakta. </w:t>
      </w:r>
      <w:r>
        <w:t>SLU Artdatabanken, Uppsala</w:t>
      </w:r>
    </w:p>
    <w:p>
      <w:pPr>
        <w:pStyle w:val="Heading1"/>
      </w:pPr>
      <w:r>
        <w:t>Lavskrika – ekologi samt krav på livsmiljön</w:t>
      </w:r>
    </w:p>
    <w:p>
      <w:r>
        <w:t>Lavskrikan är fridlyst enligt 4 § artskyddsförordningen (2007:845) och ingår i förteckningen över prioriterade arter i Skogsstyrelsens föreskrifter och allmänna råd (SKSFS 2011:7) bilaga 4.</w:t>
      </w:r>
    </w:p>
    <w:p>
      <w:r>
        <w:t xml:space="preserve">I Skogsstyrelsens vägledning för hänsyn till fåglar står bland annat att: </w:t>
      </w:r>
      <w:r>
        <w:rPr>
          <w:i/>
        </w:rPr>
        <w:t>“Reviren är livslånga med hemområden som varierar mellan 50 och 150 ha. Hemområdena har inga fasta gränser utan det handlar mera om de yttre gränserna för familjegruppernas rörelser. Lavskrikan undviker att förflytta sig över stora öppna områden och hemområdesstorleken är därför större i områden fragmenterade av hyggen och yngre skog än i områden med i sammanhängande äldre skog. Det finns studier som antyder att det inom ett revir bör finnas maximalt 15 % öppna ytor och ungskog. Inom ett revir av hög kvalitet finns det som regel ett eller flera kärnområden (1–20 ha) med relativt tät flerskiktad granskog.”</w:t>
      </w:r>
      <w:r>
        <w:t xml:space="preserve"> Vidare att: </w:t>
      </w:r>
      <w:r>
        <w:rPr>
          <w:i/>
        </w:rPr>
        <w:t>“Arten missgynnas när flerskiktad skog omförs till enskiktade bestånd. Även skogsskötsel med återkommande röjning och hård gallring är starkt negativt. Lavskrikan har relativt stora hemområden och försvinner när den äldre skogen fragmenteras, särskilt allvarligt är när kärnområdena avverkas.”</w:t>
      </w:r>
      <w:r>
        <w:t xml:space="preserve"> (Skogsstyrelsen 2016).</w:t>
      </w:r>
    </w:p>
    <w:p>
      <w:r>
        <w:t>Populationen har minskat med 20–40 % de senaste 30 åren, men i Svensk Fågeltaxerings standardrutter varierar antalet kraftigt och ingen minskning kan skönjas de senaste 18 åren. Arten försvinner successivt framför allt vid dess utbredningsgränser (SLU Artdatabanken, 2022).</w:t>
      </w:r>
    </w:p>
    <w:p>
      <w:pPr>
        <w:pStyle w:val="Heading2"/>
      </w:pPr>
      <w:r>
        <w:t>Referenser – lavskrika</w:t>
      </w:r>
    </w:p>
    <w:p>
      <w:r>
        <w:t xml:space="preserve">Skogsstyrelsen, 2016. </w:t>
      </w:r>
      <w:r>
        <w:rPr>
          <w:i/>
        </w:rPr>
        <w:t xml:space="preserve">Vägledning för hänsyn till fåglar – lavskrika. </w:t>
      </w:r>
      <w:r>
        <w:t>https://www.skogsstyrelsen.se/globalassets/lag-och-tillsyn/artskydd/vagledningar-for-hansyn-till-faglar/lavskrika-vagledning-hansyn.pdf</w:t>
      </w:r>
    </w:p>
    <w:p>
      <w:r>
        <w:t xml:space="preserve">SLU Artdatabanken, 2021. </w:t>
      </w:r>
      <w:r>
        <w:rPr>
          <w:i/>
        </w:rPr>
        <w:t xml:space="preserve">Artfaktablad. Naturvård – artfakta. </w:t>
      </w:r>
      <w:r>
        <w:t>SLU Artdatabanken, Uppsala</w:t>
      </w:r>
    </w:p>
    <w:p>
      <w:pPr>
        <w:pStyle w:val="Heading1"/>
      </w:pPr>
      <w:r>
        <w:t>Lunglav – ekologi samt krav på livsmiljön</w:t>
      </w:r>
    </w:p>
    <w:p>
      <w:r>
        <w:t>Lunglav (NT) är en av vårt lands främsta signalarter som överallt indikerar gamla lövträd, skogsbestånd med höga naturvärden och ekosystem med lång skoglig kontinuitet. Lokalt kan förekomsten vara mycket riklig men den hittas nästan enbart i gamla och ej slutavverkade skogar. Artens samtliga förekomster bör uppmärksammas från naturvårdssynpunkt, då många lokaler även hyser andra ovanliga och rödlistade arter. Rikliga förekomster bör skyddas med biotopskydd, frivilliga avsättningar eller reservat (SLU Artdatabanken, 2024; Nitare &amp; Skogsstyrelsen, 2019).</w:t>
      </w:r>
    </w:p>
    <w:p>
      <w:r>
        <w:t xml:space="preserve">På lunglav kan man sällsynt finna små svarta skivlika bildningar som liknar apothecier men som är en parasitisk svamp, Lunglavsknapp </w:t>
      </w:r>
      <w:r>
        <w:rPr>
          <w:i/>
        </w:rPr>
        <w:t>Plectocarpon lichenum</w:t>
      </w:r>
      <w:r>
        <w:t xml:space="preserve"> (VU). Det finns ytterligare ett antal parasiter vilka bara förekommer på lunglav: Skrovelmössing </w:t>
      </w:r>
      <w:r>
        <w:rPr>
          <w:i/>
        </w:rPr>
        <w:t>Dactylospora lobariella</w:t>
      </w:r>
      <w:r>
        <w:t xml:space="preserve"> (rödlistad som Kunskapsbrist DD) och Lunglavshårprick </w:t>
      </w:r>
      <w:r>
        <w:rPr>
          <w:i/>
        </w:rPr>
        <w:t>Niesslia lobariae</w:t>
      </w:r>
      <w:r>
        <w:t xml:space="preserve"> (rödlistad som Kunskapsbrist DD). Skrovelmössing (DD) har små svarta apothecier och bruna, 1-septerade sporer och Lunglavshårprick (DD) har brunhåriga perithecier och färglösa, 1-septerade sporer. Nyligen har ytterligare två lavparasiter påträffats i Sverige som växer på lunglav: </w:t>
      </w:r>
      <w:r>
        <w:rPr>
          <w:i/>
        </w:rPr>
        <w:t>Calycina alstrupii</w:t>
      </w:r>
      <w:r>
        <w:t xml:space="preserve"> (NA) och </w:t>
      </w:r>
      <w:r>
        <w:rPr>
          <w:i/>
        </w:rPr>
        <w:t>Chalara lobariae</w:t>
      </w:r>
      <w:r>
        <w:t xml:space="preserve"> (NA) (SLU Artdatabanken, 2025; SLU Artdatabanken, 2024; Nitare &amp; Skogsstyrelsen, 2019).</w:t>
      </w:r>
    </w:p>
    <w:p>
      <w:pPr>
        <w:pStyle w:val="Heading2"/>
      </w:pPr>
      <w:r>
        <w:t>Referenser – lunglav</w:t>
      </w:r>
    </w:p>
    <w:p>
      <w:r>
        <w:t xml:space="preserve">Nitare, J. och Skogsstyrelsen, 2019. </w:t>
      </w:r>
      <w:r>
        <w:rPr>
          <w:i/>
        </w:rPr>
        <w:t xml:space="preserve">Skyddsvärd skog – Naturvårdsarter och andra kriterier för naturvärdesbedömning. </w:t>
      </w:r>
      <w:r>
        <w:t>Skogsstyrelsen.</w:t>
      </w:r>
    </w:p>
    <w:p>
      <w:r>
        <w:t xml:space="preserve">SLU Artdatabanken, 2024. </w:t>
      </w:r>
      <w:r>
        <w:rPr>
          <w:i/>
        </w:rPr>
        <w:t xml:space="preserve">Artfaktablad. Naturvård – artfakta. </w:t>
      </w:r>
      <w:r>
        <w:t>SLU Artdatabanken, Uppsala.</w:t>
      </w:r>
    </w:p>
    <w:p>
      <w:r>
        <w:t xml:space="preserve">SLU Artdatabanken, 2025. </w:t>
      </w:r>
      <w:r>
        <w:rPr>
          <w:i/>
        </w:rPr>
        <w:t xml:space="preserve">Över 20 nya lavparasiter för Sverige. </w:t>
      </w:r>
      <w:r>
        <w:t>https://www.slu.se/artdatabanken/arter-och-natur/artiklar/over-20-nya-lavparasiter-for-sverige/</w:t>
      </w:r>
    </w:p>
    <w:p>
      <w:pPr>
        <w:pStyle w:val="Heading1"/>
      </w:pPr>
      <w:r>
        <w:t>Spillkråka – ekologi samt krav på livsmiljön</w:t>
      </w:r>
    </w:p>
    <w:p>
      <w:r>
        <w:t>Spillkråka (NT) är rödlistad som nära hotad, fridlyst enligt §4 Artskyddsförordningen och ingår i bilaga 1 i EU:s fågeldirektiv. Spillkråka lever i både barr- och blandskog liksom i ren lövskog. De tätaste populationerna tenderar att finnas i äldre, variationsrik blandskog med gott om död ved och gamla träd.</w:t>
      </w:r>
    </w:p>
    <w:p>
      <w:r>
        <w:t>Varje par utnyttjar 400–1000 hektar skog beroende på skogens kvalitet. En minskning av populationen pågår på grund av minskad tillgång på lämpliga bo- och födoträd och minskad födotillgång. Spillkråkans minskningstakt har uppgått till 19 (24–10) % under de senaste 15 åren. Minskningstakten för den svenska populationen bedöms vara nära gränsvärdet för Sårbar (VU) (A2bc). Skogsbruk med korta omloppstider och täta, homogena ungskogar utgör det största hotet (Artdatabanken 2023).</w:t>
      </w:r>
    </w:p>
    <w:p>
      <w:pPr>
        <w:pStyle w:val="Heading2"/>
      </w:pPr>
      <w:r>
        <w:t>Referenser – spillkråka</w:t>
      </w:r>
    </w:p>
    <w:p>
      <w:r>
        <w:t xml:space="preserve">SLU Artdatabanken, 2021. </w:t>
      </w:r>
      <w:r>
        <w:rPr>
          <w:i/>
        </w:rPr>
        <w:t xml:space="preserve">Artfaktablad. Naturvård – artfakta. </w:t>
      </w:r>
      <w:r>
        <w:t>SLU Artdatabanken, Uppsala</w:t>
      </w:r>
    </w:p>
    <w:p>
      <w:pPr>
        <w:pStyle w:val="Heading1"/>
      </w:pPr>
      <w:r>
        <w:t>Talltita – ekologi samt krav på livsmiljön</w:t>
      </w:r>
    </w:p>
    <w:p>
      <w:r>
        <w:t>Talltita är rödlistad som NT, fridlyst och prioriterad art i Skogsvårdslagen. Den omfattas av EU:s fågeldirektiv. Arten har minskat kraftigt de senaste 30 åren och minskningstakten innevarande 10-årsperiod beräknas till 20 (10–30) % (SLU Artdatabanken, 2022).</w:t>
      </w:r>
    </w:p>
    <w:p>
      <w:r>
        <w:t>Talltita föredrar större sammanhängande barrskogar, och finns såväl i tallskog som granskog och i lövblandad barrskog. Skogens struktur är viktig och ska helst vara flerskiktad med riklig underväxt av mindre granar, björk och andra lövträd och buskar. Tillgång på murknande högstubbar är särskilt viktig, eftersom talltitan helst själv hackar ut sitt bohål (SLU Artdatabanken, 2022).</w:t>
      </w:r>
    </w:p>
    <w:p>
      <w:r>
        <w:t>Det finns flera studier som visar att talltita är känslig för gallring och inte överlever när dess livsmiljö kalavverkas (Eggers and Low, 2014; Griesser et al., 2007; Klein, 2020). Talltitans revir är förhållandevis stora, 10–20 hektar och arten missgynnas när skogen fragmenteras. Kalavverkning av större delar av reviret innebär att det överges (Artdatabanken, 2021).</w:t>
      </w:r>
    </w:p>
    <w:p>
      <w:r>
        <w:t>Talltitan är synnerligen trogen sitt revir så länge paret lever och biotopen förblir intakt. Paret stannar i sitt revir året om. En förlust av ett revir har därför en stor inverkan på den lokala populationen och trakthyggesbruket anses vara orsak till den svenska populationens kraftiga minskning. Talltiteparets revirtrohet innebär att närhelst under året man observerar en adult talltita så ingår denna plats i reviret (Siffczyk et al., 2003; Ekman, 1979).</w:t>
      </w:r>
    </w:p>
    <w:p>
      <w:pPr>
        <w:pStyle w:val="Heading2"/>
      </w:pPr>
      <w:r>
        <w:t>Referenser – talltita</w:t>
      </w:r>
    </w:p>
    <w:p>
      <w:r>
        <w:t xml:space="preserve">Eggers, S., Low, M., 2014. </w:t>
      </w:r>
      <w:r>
        <w:rPr>
          <w:i/>
        </w:rPr>
        <w:t xml:space="preserve">Differential demographic responses of sympatric Parids to vegetation management in boreal forest. </w:t>
      </w:r>
      <w:r>
        <w:t>For. Ecol. Manage. 319, 169–175.</w:t>
      </w:r>
    </w:p>
    <w:p>
      <w:r>
        <w:t xml:space="preserve">Ekman, J., 1979. </w:t>
      </w:r>
      <w:r>
        <w:rPr>
          <w:i/>
        </w:rPr>
        <w:t xml:space="preserve">Coherence, composition and territories of winter social groups of the Willow Tit Parus montanus and the Crested Tit P. cristatus. </w:t>
      </w:r>
      <w:r>
        <w:t>Ornis Scandinavica, 10, pp 56–68</w:t>
      </w:r>
    </w:p>
    <w:p>
      <w:r>
        <w:t xml:space="preserve">Griesser, M., Nystrand, M., Eggers, S., Ekman, J., 2007. </w:t>
      </w:r>
      <w:r>
        <w:rPr>
          <w:i/>
        </w:rPr>
        <w:t xml:space="preserve">Impact of forestry practices on fitness correlates and population productivity in an open-nesting bird species. </w:t>
      </w:r>
      <w:r>
        <w:t>Conserv. Biol. 21, 767–774. https://doi.org/10.1111/j.1523- 1739.2007.00675.x</w:t>
      </w:r>
    </w:p>
    <w:p>
      <w:r>
        <w:t xml:space="preserve">Klein, J., 2020. </w:t>
      </w:r>
      <w:r>
        <w:rPr>
          <w:i/>
        </w:rPr>
        <w:t xml:space="preserve">The forgotten forest – On thinning, retention, and biodiversity in the boreal forest. </w:t>
      </w:r>
      <w:r>
        <w:t>Doctoral Thesis No. 2020:50</w:t>
      </w:r>
    </w:p>
    <w:p>
      <w:r>
        <w:t xml:space="preserve">Siffczyk, C., Brotons, L., Kangas, K., Orell, M., 2003. </w:t>
      </w:r>
      <w:r>
        <w:rPr>
          <w:i/>
        </w:rPr>
        <w:t xml:space="preserve">Home range size of willow tits. </w:t>
      </w:r>
      <w:r>
        <w:t>Oecologica, 136, 635–642 (2003)</w:t>
      </w:r>
    </w:p>
    <w:p>
      <w:r>
        <w:t xml:space="preserve">SLU Artdatabanken, 2021. </w:t>
      </w:r>
      <w:r>
        <w:rPr>
          <w:i/>
        </w:rPr>
        <w:t xml:space="preserve">Artfaktablad. Naturvård – artfakta. </w:t>
      </w:r>
      <w:r>
        <w:t>SLU Artdatabanken, Uppsala</w:t>
      </w:r>
    </w:p>
    <w:p>
      <w:pPr>
        <w:pStyle w:val="Heading1"/>
      </w:pPr>
      <w:r>
        <w:t>Tjäder – ekologi samt krav på livsmiljön</w:t>
      </w:r>
    </w:p>
    <w:p>
      <w:r>
        <w:t>Tjäder (§4) är en utpräglad skogsfågel knuten till större sammanhängande barrskogsområden. Tupparna och hönorna utnyttjar till viss del olika miljöer, och habitatvalet varierar dessutom mellan olika delar av året. För att det ska finnas livskraftiga tjäderbestånd krävs funktionella skogslandskap med en blandning av uppvuxen, gles och luckig skog, täta sumpskogar, myrar och andra små våtmarker (Skogsstyrelsen, 2019).</w:t>
      </w:r>
    </w:p>
    <w:p>
      <w:r>
        <w:t>Arten försvinner när skogen fragmenteras och den sammanlagda arealen hyggen och andra öppna områden blir för stor. Ett småskaligt och försiktigt virkesuttag genom hyggesfria metoder kan i vissa fall vara möjligt i området inom 200 m från lekcentrum. Längre ut från lekcentrum, inom 200–500 m bör den avverkade ytan inte överskrida 1 hektar för att undvika alltför stora och snabba förändringar (Skogsstyrelsen, 2019).</w:t>
      </w:r>
    </w:p>
    <w:p>
      <w:pPr>
        <w:pStyle w:val="Heading2"/>
      </w:pPr>
      <w:r>
        <w:t>Referenser – tjäder</w:t>
      </w:r>
    </w:p>
    <w:p>
      <w:r>
        <w:t xml:space="preserve">Skogsstyrelsen, 2019. </w:t>
      </w:r>
      <w:r>
        <w:rPr>
          <w:i/>
        </w:rPr>
        <w:t xml:space="preserve">Vägledning för hänsyn till fåglar – tjäder. </w:t>
      </w:r>
      <w:r>
        <w:t>https://www.skogsstyrelsen.se/globalassets/lag-och-tillsyn/artskydd/vagledningar-for-hansyn-till-faglar/tjader-vagledning-hansyn2.pdf</w:t>
      </w:r>
    </w:p>
    <w:p>
      <w:pPr>
        <w:pStyle w:val="Heading1"/>
      </w:pPr>
      <w:r>
        <w:t>Tretåig hackspett – ekologi samt krav på livsmiljön</w:t>
      </w:r>
    </w:p>
    <w:p>
      <w:r>
        <w:t xml:space="preserve">Tretåig hackspett (NT) är fridlyst enligt §4 Artskyddsförordningen och finns med som prioriterad art i Skogsstyrelsen vägledning för skogsbruket (bilaga 4 till SVL). I vägledningen står bland annat att: </w:t>
      </w:r>
      <w:r>
        <w:rPr>
          <w:i/>
        </w:rPr>
        <w:t xml:space="preserve">“Tretåig hackspett har stora arealkrav och höga krav på sin livsmiljö. Omdaningen av naturskogar till kulturskogar medför en förlust av viktiga miljöer, något som förstärks av ökad fragmentering till följd av avverkningar.” </w:t>
      </w:r>
      <w:r>
        <w:t xml:space="preserve">Vidare att: </w:t>
      </w:r>
      <w:r>
        <w:rPr>
          <w:i/>
        </w:rPr>
        <w:t>“Områden med dokumenterad permanent förekomst i naturskogsmiljöer har vanligen så stora naturvärden att skogsbruk är olämpligt”.</w:t>
      </w:r>
    </w:p>
    <w:p>
      <w:r>
        <w:t>Tretåig hackspett är beroende av större sammanhängande naturskogar med kontinuerlig tillgång och nybildning av död ved och fragmentering av livsmiljöerna utgör ett stort hot mot arten (se exempelvis Stachura-Skierczynska et al., 2009; Wesolowski et al., 2005; Butler et al., 2004; Pakkala et al., 2002; Amcoff et al., 1996; Virkkala, 1991). Det finns studier som visar att naturskogens självgallringsprocess som den tretåiga hackspetten är beroende av, inte kan ersättas med efterlämnad hänsyn i skogsbruket (Imbeau &amp; Desrochers, 2002).</w:t>
      </w:r>
    </w:p>
    <w:p>
      <w:r>
        <w:t>Permanenta revir av tretåig hackspett karaktäriseras ofta av artens typiska ringformigt ordnade hackmärken på framför allt gamla granar. För att säkerställa att inte revir av tretåig hackspett drabbas av avverkningsplanerna bör en inventering göras i området både under häckningstid och under vintern, då arten utnyttjar betydligt större områden än under sommarens häckningsrevir. Storleken på häckningsreviret varierar med skogstypen, förekomsten av död ved och graden av fragmentering, men är i allmänhet i storleksordningen 25–100 hektar.</w:t>
      </w:r>
    </w:p>
    <w:p>
      <w:r>
        <w:t>Förutom fridlysning enligt §4 Artskyddsförordningen är tretåig hackspett även förtecknad i EU:s fågeldirektiv bilaga 1. Den ingår också i Natura 2000 och är förtecknad i Bernkonventionen bilaga II (strikt skyddade djurarter).</w:t>
      </w:r>
    </w:p>
    <w:p>
      <w:pPr>
        <w:pStyle w:val="Heading2"/>
      </w:pPr>
      <w:r>
        <w:t>Referenser – tretåig hackspett</w:t>
      </w:r>
    </w:p>
    <w:p>
      <w:r>
        <w:t xml:space="preserve">Amcoff, M. &amp; Eriksson, P. 1996. </w:t>
      </w:r>
      <w:r>
        <w:rPr>
          <w:i/>
        </w:rPr>
        <w:t xml:space="preserve">Förekomst av tretåig hackspett Picoides tridactylus på bestånds- och landskapsnivå. </w:t>
      </w:r>
      <w:r>
        <w:t>Ornis Svecica 6: 107–119</w:t>
      </w:r>
    </w:p>
    <w:p>
      <w:r>
        <w:t xml:space="preserve">Butler, R., Angelstam, P., Ekelund, P. &amp; Schlaeffer, R. 2004. </w:t>
      </w:r>
      <w:r>
        <w:rPr>
          <w:i/>
        </w:rPr>
        <w:t xml:space="preserve">Dead wood threshold values for the three-toed woodpecker presence in boreal and sub-Alpine forest. </w:t>
      </w:r>
      <w:r>
        <w:t>Biological conservation 119(3): 305–318</w:t>
      </w:r>
    </w:p>
    <w:p>
      <w:r>
        <w:t xml:space="preserve">Imbeau, L. &amp; Desrochers, A. 2002. </w:t>
      </w:r>
      <w:r>
        <w:rPr>
          <w:i/>
        </w:rPr>
        <w:t xml:space="preserve">Foraging Ecology and Use of Drumming Trees by Three-Toed Woodpeckers. </w:t>
      </w:r>
      <w:r>
        <w:t>The Journal of Wildlife Management. Vol. 66, No. 1 (Jan., 2002), pp. 222–231.</w:t>
      </w:r>
    </w:p>
    <w:p>
      <w:r>
        <w:t xml:space="preserve">Pakkala, T., Hanski, I. &amp; Tomppo, E. 2002. </w:t>
      </w:r>
      <w:r>
        <w:rPr>
          <w:i/>
        </w:rPr>
        <w:t xml:space="preserve">Spatial ecology of the three-toed woodpecker in managed forest landscapes. </w:t>
      </w:r>
      <w:r>
        <w:t>Silva Fennica 36(1): 279–288.</w:t>
      </w:r>
    </w:p>
    <w:p>
      <w:r>
        <w:t xml:space="preserve">Skogsstyrelsen, 2016. </w:t>
      </w:r>
      <w:r>
        <w:rPr>
          <w:i/>
        </w:rPr>
        <w:t xml:space="preserve">Vägledning för hänsyn till fåglar – Tretåig hackspett. </w:t>
      </w:r>
      <w:r>
        <w:t>www.skogsstyrelsen.se</w:t>
      </w:r>
    </w:p>
    <w:p>
      <w:r>
        <w:t xml:space="preserve">Stachura-Skierczynska, K., Tumiel, T. &amp; Skierczynski, M. 2009. </w:t>
      </w:r>
      <w:r>
        <w:rPr>
          <w:i/>
        </w:rPr>
        <w:t xml:space="preserve">Habitat prediction model for three-toed woodpecker and its implications for the conservation of biologically valuable forests. </w:t>
      </w:r>
      <w:r>
        <w:t>Forest Ecology and Management 258(5): 697–703.</w:t>
      </w:r>
    </w:p>
    <w:p>
      <w:r>
        <w:t xml:space="preserve">Virkkala, R. 1991. </w:t>
      </w:r>
      <w:r>
        <w:rPr>
          <w:i/>
        </w:rPr>
        <w:t xml:space="preserve">Population trends of forest birds in a Finnish Lapland landscape of large habitat blocks – Consequences of stochastic environmental variation or regional habitat alteration. </w:t>
      </w:r>
      <w:r>
        <w:t>Biological conservation 56(2): 223–240</w:t>
      </w:r>
    </w:p>
    <w:p>
      <w:r>
        <w:t xml:space="preserve">Wesolowski, T., Czeszczewik, D. &amp; Rowinski, P. 2005. </w:t>
      </w:r>
      <w:r>
        <w:rPr>
          <w:i/>
        </w:rPr>
        <w:t xml:space="preserve">Effects of forest management on Three-toed Woodpecker Picoides tridactylus distribution in the Bialowieza Forest (NE Poland): conservation implications. </w:t>
      </w:r>
      <w:r>
        <w:t>Acta Ornithologica 40(1): 53–60.</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2025-07-21</w:t>
      <w:br/>
      <w:br/>
    </w:r>
    <w:r>
      <w:t>Till:</w:t>
      <w:br/>
    </w:r>
    <w:r>
      <w:t>Kopia: Revisor xx och FSC</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sv-S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lang w:val="sv-SE" w:eastAsia="en-US" w:bidi="ar-SA"/>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lang w:val="sv-SE" w:eastAsia="en-US" w:bidi="ar-SA"/>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lang w:val="sv-SE" w:eastAsia="en-US" w:bidi="ar-SA"/>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lang w:val="sv-SE" w:eastAsia="en-US" w:bidi="ar-SA"/>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lang w:val="sv-SE" w:eastAsia="en-US" w:bidi="ar-SA"/>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lang w:val="sv-SE" w:eastAsia="en-US" w:bidi="ar-SA"/>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lang w:val="sv-SE" w:eastAsia="en-US" w:bidi="ar-SA"/>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lang w:val="sv-SE" w:eastAsia="en-US" w:bidi="ar-SA"/>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lang w:val="sv-SE" w:eastAsia="en-US" w:bidi="ar-SA"/>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lang w:val="sv-SE" w:eastAsia="en-US" w:bidi="ar-SA"/>
    </w:rPr>
  </w:style>
  <w:style w:type="character" w:default="1" w:styleId="DefaultParagraphFont">
    <w:name w:val="Default Paragraph Font"/>
    <w:uiPriority w:val="1"/>
    <w:semiHidden/>
    <w:unhideWhenUsed/>
    <w:rPr>
      <w:lang w:val="sv-SE" w:eastAsia="en-US" w:bidi="ar-SA"/>
    </w:rPr>
  </w:style>
  <w:style w:type="table" w:default="1" w:styleId="TableNormal">
    <w:name w:val="Normal Table"/>
    <w:uiPriority w:val="99"/>
    <w:semiHidden/>
    <w:unhideWhenUsed/>
    <w:rPr>
      <w:lang w:val="sv-SE" w:eastAsia="en-US" w:bidi="ar-SA"/>
    </w:rPr>
    <w:tblPr>
      <w:tblInd w:w="0" w:type="dxa"/>
      <w:tblCellMar>
        <w:top w:w="0" w:type="dxa"/>
        <w:left w:w="108" w:type="dxa"/>
        <w:bottom w:w="0" w:type="dxa"/>
        <w:right w:w="108" w:type="dxa"/>
      </w:tblCellMar>
    </w:tblPr>
  </w:style>
  <w:style w:type="numbering" w:default="1" w:styleId="NoList">
    <w:name w:val="No List"/>
    <w:uiPriority w:val="99"/>
    <w:semiHidden/>
    <w:unhideWhenUsed/>
    <w:rPr>
      <w:lang w:val="sv-SE" w:eastAsia="en-US" w:bidi="ar-SA"/>
    </w:rPr>
  </w:style>
  <w:style w:type="paragraph" w:styleId="Header">
    <w:name w:val="header"/>
    <w:basedOn w:val="Normal"/>
    <w:link w:val="HeaderChar"/>
    <w:uiPriority w:val="99"/>
    <w:unhideWhenUsed/>
    <w:rsid w:val="00E618BF"/>
    <w:pPr>
      <w:tabs>
        <w:tab w:val="center" w:pos="4680"/>
        <w:tab w:val="right" w:pos="9360"/>
      </w:tabs>
      <w:spacing w:after="0" w:line="240" w:lineRule="auto"/>
    </w:pPr>
    <w:rPr>
      <w:lang w:val="sv-SE" w:eastAsia="en-US" w:bidi="ar-SA"/>
    </w:rPr>
  </w:style>
  <w:style w:type="character" w:customStyle="1" w:styleId="HeaderChar">
    <w:name w:val="Header Char"/>
    <w:basedOn w:val="DefaultParagraphFont"/>
    <w:link w:val="Header"/>
    <w:uiPriority w:val="99"/>
    <w:rsid w:val="00E618BF"/>
    <w:rPr>
      <w:lang w:val="sv-SE" w:eastAsia="en-US" w:bidi="ar-SA"/>
    </w:rPr>
  </w:style>
  <w:style w:type="paragraph" w:styleId="Footer">
    <w:name w:val="footer"/>
    <w:basedOn w:val="Normal"/>
    <w:link w:val="FooterChar"/>
    <w:uiPriority w:val="99"/>
    <w:unhideWhenUsed/>
    <w:rsid w:val="00E618BF"/>
    <w:pPr>
      <w:tabs>
        <w:tab w:val="center" w:pos="4680"/>
        <w:tab w:val="right" w:pos="9360"/>
      </w:tabs>
      <w:spacing w:after="0" w:line="240" w:lineRule="auto"/>
    </w:pPr>
    <w:rPr>
      <w:lang w:val="sv-SE" w:eastAsia="en-US" w:bidi="ar-SA"/>
    </w:rPr>
  </w:style>
  <w:style w:type="character" w:customStyle="1" w:styleId="FooterChar">
    <w:name w:val="Footer Char"/>
    <w:basedOn w:val="DefaultParagraphFont"/>
    <w:link w:val="Footer"/>
    <w:uiPriority w:val="99"/>
    <w:rsid w:val="00E618BF"/>
    <w:rPr>
      <w:lang w:val="sv-SE" w:eastAsia="en-US" w:bidi="ar-SA"/>
    </w:rPr>
  </w:style>
  <w:style w:type="paragraph" w:styleId="NoSpacing">
    <w:name w:val="No Spacing"/>
    <w:uiPriority w:val="1"/>
    <w:qFormat/>
    <w:rsid w:val="00FC693F"/>
    <w:pPr>
      <w:spacing w:after="0" w:line="240" w:lineRule="auto"/>
    </w:pPr>
    <w:rPr>
      <w:lang w:val="sv-SE" w:eastAsia="en-US" w:bidi="ar-SA"/>
    </w:r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lang w:val="sv-SE" w:eastAsia="en-US" w:bidi="ar-SA"/>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lang w:val="sv-SE" w:eastAsia="en-US" w:bidi="ar-SA"/>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lang w:val="sv-SE" w:eastAsia="en-US" w:bidi="ar-SA"/>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lang w:val="sv-SE" w:eastAsia="en-US" w:bidi="ar-SA"/>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lang w:val="sv-SE" w:eastAsia="en-US" w:bidi="ar-SA"/>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lang w:val="sv-SE" w:eastAsia="en-US" w:bidi="ar-SA"/>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lang w:val="sv-SE" w:eastAsia="en-US" w:bidi="ar-SA"/>
    </w:rPr>
  </w:style>
  <w:style w:type="paragraph" w:styleId="ListParagraph">
    <w:name w:val="List Paragraph"/>
    <w:basedOn w:val="Normal"/>
    <w:uiPriority w:val="34"/>
    <w:qFormat/>
    <w:rsid w:val="00FC693F"/>
    <w:pPr>
      <w:ind w:left="720"/>
      <w:contextualSpacing/>
    </w:pPr>
    <w:rPr>
      <w:lang w:val="sv-SE" w:eastAsia="en-US" w:bidi="ar-SA"/>
    </w:rPr>
  </w:style>
  <w:style w:type="paragraph" w:styleId="BodyText">
    <w:name w:val="Body Text"/>
    <w:basedOn w:val="Normal"/>
    <w:link w:val="BodyTextChar"/>
    <w:uiPriority w:val="99"/>
    <w:unhideWhenUsed/>
    <w:rsid w:val="00AA1D8D"/>
    <w:pPr>
      <w:spacing w:after="120"/>
    </w:pPr>
    <w:rPr>
      <w:lang w:val="sv-SE" w:eastAsia="en-US" w:bidi="ar-SA"/>
    </w:rPr>
  </w:style>
  <w:style w:type="character" w:customStyle="1" w:styleId="BodyTextChar">
    <w:name w:val="Body Text Char"/>
    <w:basedOn w:val="DefaultParagraphFont"/>
    <w:link w:val="BodyText"/>
    <w:uiPriority w:val="99"/>
    <w:rsid w:val="00AA1D8D"/>
    <w:rPr>
      <w:lang w:val="sv-SE" w:eastAsia="en-US" w:bidi="ar-SA"/>
    </w:rPr>
  </w:style>
  <w:style w:type="paragraph" w:styleId="BodyText2">
    <w:name w:val="Body Text 2"/>
    <w:basedOn w:val="Normal"/>
    <w:link w:val="BodyText2Char"/>
    <w:uiPriority w:val="99"/>
    <w:unhideWhenUsed/>
    <w:rsid w:val="00AA1D8D"/>
    <w:pPr>
      <w:spacing w:after="120" w:line="480" w:lineRule="auto"/>
    </w:pPr>
    <w:rPr>
      <w:lang w:val="sv-SE" w:eastAsia="en-US" w:bidi="ar-SA"/>
    </w:rPr>
  </w:style>
  <w:style w:type="character" w:customStyle="1" w:styleId="BodyText2Char">
    <w:name w:val="Body Text 2 Char"/>
    <w:basedOn w:val="DefaultParagraphFont"/>
    <w:link w:val="BodyText2"/>
    <w:uiPriority w:val="99"/>
    <w:rsid w:val="00AA1D8D"/>
    <w:rPr>
      <w:lang w:val="sv-SE" w:eastAsia="en-US" w:bidi="ar-SA"/>
    </w:rPr>
  </w:style>
  <w:style w:type="paragraph" w:styleId="BodyText3">
    <w:name w:val="Body Text 3"/>
    <w:basedOn w:val="Normal"/>
    <w:link w:val="BodyText3Char"/>
    <w:uiPriority w:val="99"/>
    <w:unhideWhenUsed/>
    <w:rsid w:val="00AA1D8D"/>
    <w:pPr>
      <w:spacing w:after="120"/>
    </w:pPr>
    <w:rPr>
      <w:sz w:val="16"/>
      <w:szCs w:val="16"/>
      <w:lang w:val="sv-SE" w:eastAsia="en-US" w:bidi="ar-SA"/>
    </w:rPr>
  </w:style>
  <w:style w:type="character" w:customStyle="1" w:styleId="BodyText3Char">
    <w:name w:val="Body Text 3 Char"/>
    <w:basedOn w:val="DefaultParagraphFont"/>
    <w:link w:val="BodyText3"/>
    <w:uiPriority w:val="99"/>
    <w:rsid w:val="00AA1D8D"/>
    <w:rPr>
      <w:sz w:val="16"/>
      <w:szCs w:val="16"/>
      <w:lang w:val="sv-SE" w:eastAsia="en-US" w:bidi="ar-SA"/>
    </w:rPr>
  </w:style>
  <w:style w:type="paragraph" w:styleId="List">
    <w:name w:val="List"/>
    <w:basedOn w:val="Normal"/>
    <w:uiPriority w:val="99"/>
    <w:unhideWhenUsed/>
    <w:rsid w:val="00AA1D8D"/>
    <w:pPr>
      <w:ind w:left="360" w:hanging="360"/>
      <w:contextualSpacing/>
    </w:pPr>
    <w:rPr>
      <w:lang w:val="sv-SE" w:eastAsia="en-US" w:bidi="ar-SA"/>
    </w:rPr>
  </w:style>
  <w:style w:type="paragraph" w:styleId="List2">
    <w:name w:val="List 2"/>
    <w:basedOn w:val="Normal"/>
    <w:uiPriority w:val="99"/>
    <w:unhideWhenUsed/>
    <w:rsid w:val="00326F90"/>
    <w:pPr>
      <w:ind w:left="720" w:hanging="360"/>
      <w:contextualSpacing/>
    </w:pPr>
    <w:rPr>
      <w:lang w:val="sv-SE" w:eastAsia="en-US" w:bidi="ar-SA"/>
    </w:rPr>
  </w:style>
  <w:style w:type="paragraph" w:styleId="List3">
    <w:name w:val="List 3"/>
    <w:basedOn w:val="Normal"/>
    <w:uiPriority w:val="99"/>
    <w:unhideWhenUsed/>
    <w:rsid w:val="00326F90"/>
    <w:pPr>
      <w:ind w:left="1080" w:hanging="360"/>
      <w:contextualSpacing/>
    </w:pPr>
    <w:rPr>
      <w:lang w:val="sv-SE" w:eastAsia="en-US" w:bidi="ar-SA"/>
    </w:rPr>
  </w:style>
  <w:style w:type="paragraph" w:styleId="ListBullet">
    <w:name w:val="List Bullet"/>
    <w:basedOn w:val="Normal"/>
    <w:uiPriority w:val="99"/>
    <w:unhideWhenUsed/>
    <w:rsid w:val="00326F90"/>
    <w:pPr>
      <w:numPr>
        <w:numId w:val="1"/>
      </w:numPr>
      <w:contextualSpacing/>
    </w:pPr>
    <w:rPr>
      <w:lang w:val="sv-SE" w:eastAsia="en-US" w:bidi="ar-SA"/>
    </w:rPr>
  </w:style>
  <w:style w:type="paragraph" w:styleId="ListBullet2">
    <w:name w:val="List Bullet 2"/>
    <w:basedOn w:val="Normal"/>
    <w:uiPriority w:val="99"/>
    <w:unhideWhenUsed/>
    <w:rsid w:val="00326F90"/>
    <w:pPr>
      <w:numPr>
        <w:numId w:val="2"/>
      </w:numPr>
      <w:contextualSpacing/>
    </w:pPr>
    <w:rPr>
      <w:lang w:val="sv-SE" w:eastAsia="en-US" w:bidi="ar-SA"/>
    </w:rPr>
  </w:style>
  <w:style w:type="paragraph" w:styleId="ListBullet3">
    <w:name w:val="List Bullet 3"/>
    <w:basedOn w:val="Normal"/>
    <w:uiPriority w:val="99"/>
    <w:unhideWhenUsed/>
    <w:rsid w:val="00326F90"/>
    <w:pPr>
      <w:numPr>
        <w:numId w:val="3"/>
      </w:numPr>
      <w:contextualSpacing/>
    </w:pPr>
    <w:rPr>
      <w:lang w:val="sv-SE" w:eastAsia="en-US" w:bidi="ar-SA"/>
    </w:rPr>
  </w:style>
  <w:style w:type="paragraph" w:styleId="ListNumber">
    <w:name w:val="List Number"/>
    <w:basedOn w:val="Normal"/>
    <w:uiPriority w:val="99"/>
    <w:unhideWhenUsed/>
    <w:rsid w:val="00326F90"/>
    <w:pPr>
      <w:numPr>
        <w:numId w:val="5"/>
      </w:numPr>
      <w:contextualSpacing/>
    </w:pPr>
    <w:rPr>
      <w:lang w:val="sv-SE" w:eastAsia="en-US" w:bidi="ar-SA"/>
    </w:rPr>
  </w:style>
  <w:style w:type="paragraph" w:styleId="ListNumber2">
    <w:name w:val="List Number 2"/>
    <w:basedOn w:val="Normal"/>
    <w:uiPriority w:val="99"/>
    <w:unhideWhenUsed/>
    <w:rsid w:val="0029639D"/>
    <w:pPr>
      <w:numPr>
        <w:numId w:val="6"/>
      </w:numPr>
      <w:contextualSpacing/>
    </w:pPr>
    <w:rPr>
      <w:lang w:val="sv-SE" w:eastAsia="en-US" w:bidi="ar-SA"/>
    </w:rPr>
  </w:style>
  <w:style w:type="paragraph" w:styleId="ListNumber3">
    <w:name w:val="List Number 3"/>
    <w:basedOn w:val="Normal"/>
    <w:uiPriority w:val="99"/>
    <w:unhideWhenUsed/>
    <w:rsid w:val="0029639D"/>
    <w:pPr>
      <w:numPr>
        <w:numId w:val="7"/>
      </w:numPr>
      <w:contextualSpacing/>
    </w:pPr>
    <w:rPr>
      <w:lang w:val="sv-SE" w:eastAsia="en-US" w:bidi="ar-SA"/>
    </w:rPr>
  </w:style>
  <w:style w:type="paragraph" w:styleId="ListContinue">
    <w:name w:val="List Continue"/>
    <w:basedOn w:val="Normal"/>
    <w:uiPriority w:val="99"/>
    <w:unhideWhenUsed/>
    <w:rsid w:val="0029639D"/>
    <w:pPr>
      <w:spacing w:after="120"/>
      <w:ind w:left="360"/>
      <w:contextualSpacing/>
    </w:pPr>
    <w:rPr>
      <w:lang w:val="sv-SE" w:eastAsia="en-US" w:bidi="ar-SA"/>
    </w:rPr>
  </w:style>
  <w:style w:type="paragraph" w:styleId="ListContinue2">
    <w:name w:val="List Continue 2"/>
    <w:basedOn w:val="Normal"/>
    <w:uiPriority w:val="99"/>
    <w:unhideWhenUsed/>
    <w:rsid w:val="0029639D"/>
    <w:pPr>
      <w:spacing w:after="120"/>
      <w:ind w:left="720"/>
      <w:contextualSpacing/>
    </w:pPr>
    <w:rPr>
      <w:lang w:val="sv-SE" w:eastAsia="en-US" w:bidi="ar-SA"/>
    </w:rPr>
  </w:style>
  <w:style w:type="paragraph" w:styleId="ListContinue3">
    <w:name w:val="List Continue 3"/>
    <w:basedOn w:val="Normal"/>
    <w:uiPriority w:val="99"/>
    <w:unhideWhenUsed/>
    <w:rsid w:val="0029639D"/>
    <w:pPr>
      <w:spacing w:after="120"/>
      <w:ind w:left="1080"/>
      <w:contextualSpacing/>
    </w:pPr>
    <w:rPr>
      <w:lang w:val="sv-SE" w:eastAsia="en-US" w:bidi="ar-SA"/>
    </w:r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lang w:val="sv-SE" w:eastAsia="en-US" w:bidi="ar-SA"/>
    </w:rPr>
  </w:style>
  <w:style w:type="character" w:customStyle="1" w:styleId="MacroTextChar">
    <w:name w:val="Macro Text Char"/>
    <w:basedOn w:val="DefaultParagraphFont"/>
    <w:link w:val="MacroText"/>
    <w:uiPriority w:val="99"/>
    <w:rsid w:val="0029639D"/>
    <w:rPr>
      <w:rFonts w:ascii="Courier" w:hAnsi="Courier"/>
      <w:sz w:val="20"/>
      <w:szCs w:val="20"/>
      <w:lang w:val="sv-SE" w:eastAsia="en-US" w:bidi="ar-SA"/>
    </w:rPr>
  </w:style>
  <w:style w:type="paragraph" w:styleId="Quote">
    <w:name w:val="Quote"/>
    <w:basedOn w:val="Normal"/>
    <w:next w:val="Normal"/>
    <w:link w:val="QuoteChar"/>
    <w:uiPriority w:val="29"/>
    <w:qFormat/>
    <w:rsid w:val="00FC693F"/>
    <w:rPr>
      <w:i/>
      <w:iCs/>
      <w:color w:val="000000" w:themeColor="text1"/>
      <w:lang w:val="sv-SE" w:eastAsia="en-US" w:bidi="ar-SA"/>
    </w:rPr>
  </w:style>
  <w:style w:type="character" w:customStyle="1" w:styleId="QuoteChar">
    <w:name w:val="Quote Char"/>
    <w:basedOn w:val="DefaultParagraphFont"/>
    <w:link w:val="Quote"/>
    <w:uiPriority w:val="29"/>
    <w:rsid w:val="00FC693F"/>
    <w:rPr>
      <w:i/>
      <w:iCs/>
      <w:color w:val="000000" w:themeColor="text1"/>
      <w:lang w:val="sv-SE" w:eastAsia="en-US" w:bidi="ar-SA"/>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lang w:val="sv-SE" w:eastAsia="en-US" w:bidi="ar-SA"/>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lang w:val="sv-SE" w:eastAsia="en-US" w:bidi="ar-SA"/>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lang w:val="sv-SE" w:eastAsia="en-US" w:bidi="ar-SA"/>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lang w:val="sv-SE" w:eastAsia="en-US" w:bidi="ar-SA"/>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lang w:val="sv-SE" w:eastAsia="en-US" w:bidi="ar-SA"/>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lang w:val="sv-SE" w:eastAsia="en-US" w:bidi="ar-SA"/>
    </w:rPr>
  </w:style>
  <w:style w:type="paragraph" w:styleId="Caption">
    <w:name w:val="caption"/>
    <w:basedOn w:val="Normal"/>
    <w:next w:val="Normal"/>
    <w:uiPriority w:val="35"/>
    <w:unhideWhenUsed/>
    <w:qFormat/>
    <w:rsid w:val="00ED360C"/>
    <w:pPr>
      <w:spacing w:after="80" w:line="240" w:lineRule="auto"/>
    </w:pPr>
    <w:rPr>
      <w:bCs/>
      <w:sz w:val="18"/>
      <w:szCs w:val="18"/>
      <w:lang w:val="sv-SE" w:eastAsia="en-US" w:bidi="ar-SA"/>
    </w:rPr>
  </w:style>
  <w:style w:type="character" w:styleId="Strong">
    <w:name w:val="Strong"/>
    <w:basedOn w:val="DefaultParagraphFont"/>
    <w:uiPriority w:val="22"/>
    <w:qFormat/>
    <w:rsid w:val="00FC693F"/>
    <w:rPr>
      <w:b/>
      <w:bCs/>
      <w:lang w:val="sv-SE" w:eastAsia="en-US" w:bidi="ar-SA"/>
    </w:rPr>
  </w:style>
  <w:style w:type="character" w:styleId="Emphasis">
    <w:name w:val="Emphasis"/>
    <w:basedOn w:val="DefaultParagraphFont"/>
    <w:uiPriority w:val="20"/>
    <w:qFormat/>
    <w:rsid w:val="00FC693F"/>
    <w:rPr>
      <w:i/>
      <w:iCs/>
      <w:lang w:val="sv-SE" w:eastAsia="en-US" w:bidi="ar-SA"/>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lang w:val="sv-SE" w:eastAsia="en-US" w:bidi="ar-SA"/>
    </w:rPr>
  </w:style>
  <w:style w:type="character" w:customStyle="1" w:styleId="IntenseQuoteChar">
    <w:name w:val="Intense Quote Char"/>
    <w:basedOn w:val="DefaultParagraphFont"/>
    <w:link w:val="IntenseQuote"/>
    <w:uiPriority w:val="30"/>
    <w:rsid w:val="00FC693F"/>
    <w:rPr>
      <w:b/>
      <w:bCs/>
      <w:i/>
      <w:iCs/>
      <w:color w:val="4F81BD" w:themeColor="accent1"/>
      <w:lang w:val="sv-SE" w:eastAsia="en-US" w:bidi="ar-SA"/>
    </w:rPr>
  </w:style>
  <w:style w:type="character" w:styleId="SubtleEmphasis">
    <w:name w:val="Subtle Emphasis"/>
    <w:basedOn w:val="DefaultParagraphFont"/>
    <w:uiPriority w:val="19"/>
    <w:qFormat/>
    <w:rsid w:val="00FC693F"/>
    <w:rPr>
      <w:i/>
      <w:iCs/>
      <w:color w:val="808080" w:themeColor="text1" w:themeTint="7F"/>
      <w:lang w:val="sv-SE" w:eastAsia="en-US" w:bidi="ar-SA"/>
    </w:rPr>
  </w:style>
  <w:style w:type="character" w:styleId="IntenseEmphasis">
    <w:name w:val="Intense Emphasis"/>
    <w:basedOn w:val="DefaultParagraphFont"/>
    <w:uiPriority w:val="21"/>
    <w:qFormat/>
    <w:rsid w:val="00FC693F"/>
    <w:rPr>
      <w:b/>
      <w:bCs/>
      <w:i/>
      <w:iCs/>
      <w:color w:val="4F81BD" w:themeColor="accent1"/>
      <w:lang w:val="sv-SE" w:eastAsia="en-US" w:bidi="ar-SA"/>
    </w:rPr>
  </w:style>
  <w:style w:type="character" w:styleId="SubtleReference">
    <w:name w:val="Subtle Reference"/>
    <w:basedOn w:val="DefaultParagraphFont"/>
    <w:uiPriority w:val="31"/>
    <w:qFormat/>
    <w:rsid w:val="00FC693F"/>
    <w:rPr>
      <w:smallCaps/>
      <w:color w:val="C0504D" w:themeColor="accent2"/>
      <w:u w:val="single"/>
      <w:lang w:val="sv-SE" w:eastAsia="en-US" w:bidi="ar-SA"/>
    </w:rPr>
  </w:style>
  <w:style w:type="character" w:styleId="IntenseReference">
    <w:name w:val="Intense Reference"/>
    <w:basedOn w:val="DefaultParagraphFont"/>
    <w:uiPriority w:val="32"/>
    <w:qFormat/>
    <w:rsid w:val="00FC693F"/>
    <w:rPr>
      <w:b/>
      <w:bCs/>
      <w:smallCaps/>
      <w:color w:val="C0504D" w:themeColor="accent2"/>
      <w:spacing w:val="5"/>
      <w:u w:val="single"/>
      <w:lang w:val="sv-SE" w:eastAsia="en-US" w:bidi="ar-SA"/>
    </w:rPr>
  </w:style>
  <w:style w:type="character" w:styleId="BookTitle">
    <w:name w:val="Book Title"/>
    <w:basedOn w:val="DefaultParagraphFont"/>
    <w:uiPriority w:val="33"/>
    <w:qFormat/>
    <w:rsid w:val="00FC693F"/>
    <w:rPr>
      <w:b/>
      <w:bCs/>
      <w:smallCaps/>
      <w:spacing w:val="5"/>
      <w:lang w:val="sv-SE" w:eastAsia="en-US" w:bidi="ar-SA"/>
    </w:rPr>
  </w:style>
  <w:style w:type="paragraph" w:styleId="TOCHeading">
    <w:name w:val="TOC Heading"/>
    <w:basedOn w:val="Heading1"/>
    <w:next w:val="Normal"/>
    <w:uiPriority w:val="39"/>
    <w:semiHidden/>
    <w:unhideWhenUsed/>
    <w:qFormat/>
    <w:rsid w:val="00FC693F"/>
    <w:pPr>
      <w:outlineLvl w:val="9"/>
    </w:pPr>
    <w:rPr>
      <w:lang w:val="sv-SE" w:eastAsia="en-US" w:bidi="ar-SA"/>
    </w:rPr>
  </w:style>
  <w:style w:type="table" w:styleId="TableGrid">
    <w:name w:val="Table Grid"/>
    <w:basedOn w:val="TableNormal"/>
    <w:uiPriority w:val="59"/>
    <w:rsid w:val="00FC693F"/>
    <w:pPr>
      <w:spacing w:after="0" w:line="240" w:lineRule="auto"/>
    </w:pPr>
    <w:rPr>
      <w:lang w:val="sv-SE" w:eastAsia="en-US"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